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26823">
      <w:pPr>
        <w:kinsoku w:val="0"/>
        <w:overflowPunct w:val="0"/>
        <w:autoSpaceDE/>
        <w:autoSpaceDN/>
        <w:adjustRightInd/>
        <w:spacing w:line="248"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RESOLUCION No. TAT-2426-2014</w:t>
      </w:r>
    </w:p>
    <w:p w:rsidR="00000000" w:rsidRDefault="00C26823">
      <w:pPr>
        <w:kinsoku w:val="0"/>
        <w:overflowPunct w:val="0"/>
        <w:autoSpaceDE/>
        <w:autoSpaceDN/>
        <w:adjustRightInd/>
        <w:spacing w:before="502" w:line="259" w:lineRule="exact"/>
        <w:ind w:right="576"/>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w:t>
      </w:r>
      <w:r>
        <w:rPr>
          <w:rFonts w:ascii="Verdana" w:hAnsi="Verdana" w:cs="Verdana"/>
          <w:sz w:val="21"/>
          <w:szCs w:val="21"/>
          <w:lang w:val="es-ES" w:eastAsia="es-ES"/>
        </w:rPr>
        <w:t>, a las once horas treinta minutos del dieciséis de diciembre de dos mil catorce.</w:t>
      </w:r>
    </w:p>
    <w:p w:rsidR="00000000" w:rsidRDefault="00C26823" w:rsidP="0042409D">
      <w:pPr>
        <w:kinsoku w:val="0"/>
        <w:overflowPunct w:val="0"/>
        <w:autoSpaceDE/>
        <w:autoSpaceDN/>
        <w:adjustRightInd/>
        <w:spacing w:before="240" w:line="259" w:lineRule="exact"/>
        <w:ind w:right="576"/>
        <w:jc w:val="both"/>
        <w:textAlignment w:val="baseline"/>
        <w:rPr>
          <w:rFonts w:ascii="Verdana" w:hAnsi="Verdana" w:cs="Verdana"/>
          <w:b/>
          <w:bCs/>
          <w:sz w:val="21"/>
          <w:szCs w:val="21"/>
          <w:lang w:val="es-ES" w:eastAsia="es-ES"/>
        </w:rPr>
      </w:pPr>
      <w:r>
        <w:rPr>
          <w:rFonts w:ascii="Verdana" w:hAnsi="Verdana" w:cs="Verdana"/>
          <w:spacing w:val="-2"/>
          <w:sz w:val="21"/>
          <w:szCs w:val="21"/>
          <w:lang w:val="es-ES" w:eastAsia="es-ES"/>
        </w:rPr>
        <w:t xml:space="preserve">Recurso de Revocatoria interpuesto por el señor </w:t>
      </w:r>
      <w:r>
        <w:rPr>
          <w:rFonts w:ascii="Verdana" w:hAnsi="Verdana" w:cs="Verdana"/>
          <w:b/>
          <w:bCs/>
          <w:spacing w:val="-2"/>
          <w:sz w:val="17"/>
          <w:szCs w:val="17"/>
          <w:lang w:val="es-ES" w:eastAsia="es-ES"/>
        </w:rPr>
        <w:t>Á</w:t>
      </w:r>
      <w:r w:rsidR="0042409D">
        <w:rPr>
          <w:rFonts w:ascii="Verdana" w:hAnsi="Verdana" w:cs="Verdana"/>
          <w:b/>
          <w:bCs/>
          <w:spacing w:val="-2"/>
          <w:sz w:val="17"/>
          <w:szCs w:val="17"/>
          <w:lang w:val="es-ES" w:eastAsia="es-ES"/>
        </w:rPr>
        <w:t>.L.S.</w:t>
      </w:r>
      <w:r>
        <w:rPr>
          <w:rFonts w:ascii="Verdana" w:hAnsi="Verdana" w:cs="Verdana"/>
          <w:b/>
          <w:bCs/>
          <w:spacing w:val="-2"/>
          <w:sz w:val="17"/>
          <w:szCs w:val="17"/>
          <w:lang w:val="es-ES" w:eastAsia="es-ES"/>
        </w:rPr>
        <w:t xml:space="preserve">, </w:t>
      </w:r>
      <w:r>
        <w:rPr>
          <w:rFonts w:ascii="Verdana" w:hAnsi="Verdana" w:cs="Verdana"/>
          <w:spacing w:val="-2"/>
          <w:sz w:val="21"/>
          <w:szCs w:val="21"/>
          <w:lang w:val="es-ES" w:eastAsia="es-ES"/>
        </w:rPr>
        <w:t xml:space="preserve">cédula de identidad número </w:t>
      </w:r>
      <w:r w:rsidR="0042409D">
        <w:rPr>
          <w:rFonts w:ascii="Verdana" w:hAnsi="Verdana" w:cs="Verdana"/>
          <w:spacing w:val="-2"/>
          <w:sz w:val="21"/>
          <w:szCs w:val="21"/>
          <w:lang w:val="es-ES" w:eastAsia="es-ES"/>
        </w:rPr>
        <w:t>…</w:t>
      </w:r>
      <w:r>
        <w:rPr>
          <w:rFonts w:ascii="Verdana" w:hAnsi="Verdana" w:cs="Verdana"/>
          <w:spacing w:val="-2"/>
          <w:sz w:val="21"/>
          <w:szCs w:val="21"/>
          <w:lang w:val="es-ES" w:eastAsia="es-ES"/>
        </w:rPr>
        <w:t>, en su condición de concesionario de</w:t>
      </w:r>
      <w:r w:rsidR="0042409D">
        <w:rPr>
          <w:rFonts w:ascii="Verdana" w:hAnsi="Verdana" w:cs="Verdana"/>
          <w:spacing w:val="-2"/>
          <w:sz w:val="21"/>
          <w:szCs w:val="21"/>
          <w:lang w:val="es-ES" w:eastAsia="es-ES"/>
        </w:rPr>
        <w:t xml:space="preserve"> </w:t>
      </w:r>
      <w:r>
        <w:rPr>
          <w:rFonts w:ascii="Verdana" w:hAnsi="Verdana" w:cs="Verdana"/>
          <w:sz w:val="21"/>
          <w:szCs w:val="21"/>
          <w:lang w:val="es-ES" w:eastAsia="es-ES"/>
        </w:rPr>
        <w:t xml:space="preserve">la placa de Taxi </w:t>
      </w:r>
      <w:r>
        <w:rPr>
          <w:rFonts w:ascii="Verdana" w:hAnsi="Verdana" w:cs="Verdana"/>
          <w:b/>
          <w:bCs/>
          <w:sz w:val="21"/>
          <w:szCs w:val="21"/>
          <w:lang w:val="es-ES" w:eastAsia="es-ES"/>
        </w:rPr>
        <w:t>TH-</w:t>
      </w:r>
      <w:r w:rsidR="0042409D">
        <w:rPr>
          <w:rFonts w:ascii="Verdana" w:hAnsi="Verdana" w:cs="Verdana"/>
          <w:b/>
          <w:bCs/>
          <w:sz w:val="21"/>
          <w:szCs w:val="21"/>
          <w:lang w:val="es-ES" w:eastAsia="es-ES"/>
        </w:rPr>
        <w:t>XXX</w:t>
      </w:r>
      <w:r>
        <w:rPr>
          <w:rFonts w:ascii="Verdana" w:hAnsi="Verdana" w:cs="Verdana"/>
          <w:b/>
          <w:bCs/>
          <w:sz w:val="21"/>
          <w:szCs w:val="21"/>
          <w:lang w:val="es-ES" w:eastAsia="es-ES"/>
        </w:rPr>
        <w:t xml:space="preserve">, </w:t>
      </w:r>
      <w:r>
        <w:rPr>
          <w:rFonts w:ascii="Verdana" w:hAnsi="Verdana" w:cs="Verdana"/>
          <w:sz w:val="21"/>
          <w:szCs w:val="21"/>
          <w:lang w:val="es-ES" w:eastAsia="es-ES"/>
        </w:rPr>
        <w:t>con</w:t>
      </w:r>
      <w:r>
        <w:rPr>
          <w:rFonts w:ascii="Verdana" w:hAnsi="Verdana" w:cs="Verdana"/>
          <w:sz w:val="21"/>
          <w:szCs w:val="21"/>
          <w:lang w:val="es-ES" w:eastAsia="es-ES"/>
        </w:rPr>
        <w:t xml:space="preserve">tra el </w:t>
      </w:r>
      <w:r>
        <w:rPr>
          <w:rFonts w:ascii="Verdana" w:hAnsi="Verdana" w:cs="Verdana"/>
          <w:b/>
          <w:bCs/>
          <w:sz w:val="21"/>
          <w:szCs w:val="21"/>
          <w:lang w:val="es-ES" w:eastAsia="es-ES"/>
        </w:rPr>
        <w:t>Artículo 3.2.7</w:t>
      </w:r>
      <w:r>
        <w:rPr>
          <w:rFonts w:ascii="Verdana" w:hAnsi="Verdana" w:cs="Verdana"/>
          <w:b/>
          <w:bCs/>
          <w:sz w:val="21"/>
          <w:szCs w:val="21"/>
          <w:lang w:val="es-ES" w:eastAsia="es-ES"/>
        </w:rPr>
        <w:tab/>
        <w:t xml:space="preserve">de la Sesión Ordinaria N. 13-2009 </w:t>
      </w:r>
      <w:r>
        <w:rPr>
          <w:rFonts w:ascii="Verdana" w:hAnsi="Verdana" w:cs="Verdana"/>
          <w:sz w:val="21"/>
          <w:szCs w:val="21"/>
          <w:lang w:val="es-ES" w:eastAsia="es-ES"/>
        </w:rPr>
        <w:t xml:space="preserve">de 24 de febrero de 2009, dictado por </w:t>
      </w:r>
      <w:r>
        <w:rPr>
          <w:rFonts w:ascii="Verdana" w:hAnsi="Verdana" w:cs="Verdana"/>
          <w:b/>
          <w:bCs/>
          <w:sz w:val="21"/>
          <w:szCs w:val="21"/>
          <w:lang w:val="es-ES" w:eastAsia="es-ES"/>
        </w:rPr>
        <w:t xml:space="preserve">la </w:t>
      </w:r>
      <w:r>
        <w:rPr>
          <w:b/>
          <w:bCs/>
          <w:sz w:val="18"/>
          <w:szCs w:val="18"/>
          <w:lang w:val="es-ES" w:eastAsia="es-ES"/>
        </w:rPr>
        <w:t xml:space="preserve">JUNTA DIRECTIVA DEL CONSEJO DE TRANSPORTE PÚBLICO. </w:t>
      </w:r>
      <w:r>
        <w:rPr>
          <w:rFonts w:ascii="Verdana" w:hAnsi="Verdana" w:cs="Verdana"/>
          <w:b/>
          <w:bCs/>
          <w:sz w:val="21"/>
          <w:szCs w:val="21"/>
          <w:lang w:val="es-ES" w:eastAsia="es-ES"/>
        </w:rPr>
        <w:t xml:space="preserve">El caso se tramita en Expediente Administrativo N. </w:t>
      </w:r>
      <w:r w:rsidR="0042409D">
        <w:rPr>
          <w:rFonts w:ascii="Verdana" w:hAnsi="Verdana" w:cs="Verdana"/>
          <w:b/>
          <w:bCs/>
          <w:sz w:val="21"/>
          <w:szCs w:val="21"/>
          <w:lang w:val="es-ES" w:eastAsia="es-ES"/>
        </w:rPr>
        <w:t xml:space="preserve">                      </w:t>
      </w:r>
      <w:r>
        <w:rPr>
          <w:rFonts w:ascii="Verdana" w:hAnsi="Verdana" w:cs="Verdana"/>
          <w:b/>
          <w:bCs/>
          <w:sz w:val="21"/>
          <w:szCs w:val="21"/>
          <w:lang w:val="es-ES" w:eastAsia="es-ES"/>
        </w:rPr>
        <w:t>TAT-218-14.</w:t>
      </w:r>
    </w:p>
    <w:p w:rsidR="00000000" w:rsidRDefault="00C26823">
      <w:pPr>
        <w:kinsoku w:val="0"/>
        <w:overflowPunct w:val="0"/>
        <w:autoSpaceDE/>
        <w:autoSpaceDN/>
        <w:adjustRightInd/>
        <w:spacing w:before="256" w:line="251" w:lineRule="exact"/>
        <w:jc w:val="center"/>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RESULTANDO:</w:t>
      </w:r>
    </w:p>
    <w:p w:rsidR="00000000" w:rsidRDefault="00C26823">
      <w:pPr>
        <w:kinsoku w:val="0"/>
        <w:overflowPunct w:val="0"/>
        <w:autoSpaceDE/>
        <w:autoSpaceDN/>
        <w:adjustRightInd/>
        <w:spacing w:before="522" w:line="251" w:lineRule="exact"/>
        <w:ind w:right="576"/>
        <w:jc w:val="both"/>
        <w:textAlignment w:val="baseline"/>
        <w:rPr>
          <w:rFonts w:ascii="Verdana" w:hAnsi="Verdana" w:cs="Verdana"/>
          <w:i/>
          <w:iCs/>
          <w:sz w:val="21"/>
          <w:szCs w:val="21"/>
          <w:lang w:val="es-ES" w:eastAsia="es-ES"/>
        </w:rPr>
      </w:pPr>
      <w:r>
        <w:rPr>
          <w:rFonts w:ascii="Verdana" w:hAnsi="Verdana" w:cs="Verdana"/>
          <w:b/>
          <w:bCs/>
          <w:sz w:val="21"/>
          <w:szCs w:val="21"/>
          <w:lang w:val="es-ES" w:eastAsia="es-ES"/>
        </w:rPr>
        <w:t xml:space="preserve">PRIMERO: </w:t>
      </w:r>
      <w:r>
        <w:rPr>
          <w:rFonts w:ascii="Verdana" w:hAnsi="Verdana" w:cs="Verdana"/>
          <w:sz w:val="21"/>
          <w:szCs w:val="21"/>
          <w:lang w:val="es-ES" w:eastAsia="es-ES"/>
        </w:rPr>
        <w:t xml:space="preserve">La </w:t>
      </w:r>
      <w:r>
        <w:rPr>
          <w:b/>
          <w:bCs/>
          <w:sz w:val="18"/>
          <w:szCs w:val="18"/>
          <w:lang w:val="es-ES" w:eastAsia="es-ES"/>
        </w:rPr>
        <w:t>JUNTA DIRECTIVA DEL C</w:t>
      </w:r>
      <w:r>
        <w:rPr>
          <w:b/>
          <w:bCs/>
          <w:sz w:val="18"/>
          <w:szCs w:val="18"/>
          <w:lang w:val="es-ES" w:eastAsia="es-ES"/>
        </w:rPr>
        <w:t xml:space="preserve">ONSEJO DE TRANSPORTE PÚBLICO, </w:t>
      </w:r>
      <w:r>
        <w:rPr>
          <w:rFonts w:ascii="Verdana" w:hAnsi="Verdana" w:cs="Verdana"/>
          <w:sz w:val="21"/>
          <w:szCs w:val="21"/>
          <w:lang w:val="es-ES" w:eastAsia="es-ES"/>
        </w:rPr>
        <w:t xml:space="preserve">mediante el </w:t>
      </w:r>
      <w:r>
        <w:rPr>
          <w:rFonts w:ascii="Verdana" w:hAnsi="Verdana" w:cs="Verdana"/>
          <w:b/>
          <w:bCs/>
          <w:sz w:val="21"/>
          <w:szCs w:val="21"/>
          <w:lang w:val="es-ES" w:eastAsia="es-ES"/>
        </w:rPr>
        <w:t xml:space="preserve">Artículo 3.2.7 de la Sesión Ordinaria N. 13-2009 </w:t>
      </w:r>
      <w:r>
        <w:rPr>
          <w:rFonts w:ascii="Verdana" w:hAnsi="Verdana" w:cs="Verdana"/>
          <w:sz w:val="21"/>
          <w:szCs w:val="21"/>
          <w:lang w:val="es-ES" w:eastAsia="es-ES"/>
        </w:rPr>
        <w:t xml:space="preserve">de 24 de febrero de 2009, acuerda la caducidad de la concesión autorizada al señor </w:t>
      </w:r>
      <w:r>
        <w:rPr>
          <w:rFonts w:ascii="Verdana" w:hAnsi="Verdana" w:cs="Verdana"/>
          <w:b/>
          <w:bCs/>
          <w:sz w:val="21"/>
          <w:szCs w:val="21"/>
          <w:lang w:val="es-ES" w:eastAsia="es-ES"/>
        </w:rPr>
        <w:t>L</w:t>
      </w:r>
      <w:r w:rsidR="0042409D">
        <w:rPr>
          <w:rFonts w:ascii="Verdana" w:hAnsi="Verdana" w:cs="Verdana"/>
          <w:b/>
          <w:bCs/>
          <w:sz w:val="21"/>
          <w:szCs w:val="21"/>
          <w:lang w:val="es-ES" w:eastAsia="es-ES"/>
        </w:rPr>
        <w:t>.A.L.S.</w:t>
      </w:r>
      <w:r>
        <w:rPr>
          <w:rFonts w:ascii="Verdana" w:hAnsi="Verdana" w:cs="Verdana"/>
          <w:b/>
          <w:bCs/>
          <w:sz w:val="21"/>
          <w:szCs w:val="21"/>
          <w:lang w:val="es-ES" w:eastAsia="es-ES"/>
        </w:rPr>
        <w:t xml:space="preserve">, </w:t>
      </w:r>
      <w:r>
        <w:rPr>
          <w:rFonts w:ascii="Verdana" w:hAnsi="Verdana" w:cs="Verdana"/>
          <w:sz w:val="21"/>
          <w:szCs w:val="21"/>
          <w:lang w:val="es-ES" w:eastAsia="es-ES"/>
        </w:rPr>
        <w:t>por realizar un traspaso de la concesión sin au</w:t>
      </w:r>
      <w:r>
        <w:rPr>
          <w:rFonts w:ascii="Verdana" w:hAnsi="Verdana" w:cs="Verdana"/>
          <w:sz w:val="21"/>
          <w:szCs w:val="21"/>
          <w:lang w:val="es-ES" w:eastAsia="es-ES"/>
        </w:rPr>
        <w:t xml:space="preserve">torización. </w:t>
      </w:r>
      <w:r>
        <w:rPr>
          <w:rFonts w:ascii="Verdana" w:hAnsi="Verdana" w:cs="Verdana"/>
          <w:i/>
          <w:iCs/>
          <w:sz w:val="21"/>
          <w:szCs w:val="21"/>
          <w:lang w:val="es-ES" w:eastAsia="es-ES"/>
        </w:rPr>
        <w:t>(Léanse folios del 13 al 15 del expediente administrativo)</w:t>
      </w:r>
    </w:p>
    <w:p w:rsidR="00000000" w:rsidRDefault="00C26823">
      <w:pPr>
        <w:kinsoku w:val="0"/>
        <w:overflowPunct w:val="0"/>
        <w:autoSpaceDE/>
        <w:autoSpaceDN/>
        <w:adjustRightInd/>
        <w:spacing w:before="365" w:line="252" w:lineRule="exact"/>
        <w:ind w:right="576"/>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SEGUNDO: </w:t>
      </w:r>
      <w:r>
        <w:rPr>
          <w:rFonts w:ascii="Verdana" w:hAnsi="Verdana" w:cs="Verdana"/>
          <w:sz w:val="21"/>
          <w:szCs w:val="21"/>
          <w:lang w:val="es-ES" w:eastAsia="es-ES"/>
        </w:rPr>
        <w:t xml:space="preserve">El recurrente en su impugnación indica que presenta Recurso de Revocatoria, por cuanto él nunca cedió los derechos de la concesión y que el poder que extendió lo fue solo para </w:t>
      </w:r>
      <w:r>
        <w:rPr>
          <w:rFonts w:ascii="Verdana" w:hAnsi="Verdana" w:cs="Verdana"/>
          <w:sz w:val="21"/>
          <w:szCs w:val="21"/>
          <w:lang w:val="es-ES" w:eastAsia="es-ES"/>
        </w:rPr>
        <w:t>realizar cambio de unidad. (Léanse folios del 7 al 8 del expediente administrativo).</w:t>
      </w:r>
    </w:p>
    <w:p w:rsidR="00000000" w:rsidRDefault="00C26823">
      <w:pPr>
        <w:kinsoku w:val="0"/>
        <w:overflowPunct w:val="0"/>
        <w:autoSpaceDE/>
        <w:autoSpaceDN/>
        <w:adjustRightInd/>
        <w:spacing w:before="281" w:line="246" w:lineRule="exact"/>
        <w:ind w:right="576"/>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TERCERO: </w:t>
      </w:r>
      <w:r>
        <w:rPr>
          <w:rFonts w:ascii="Verdana" w:hAnsi="Verdana" w:cs="Verdana"/>
          <w:sz w:val="21"/>
          <w:szCs w:val="21"/>
          <w:lang w:val="es-ES" w:eastAsia="es-ES"/>
        </w:rPr>
        <w:t xml:space="preserve">La Junta Directiva del Consejo de Transporte Público determina mediante </w:t>
      </w:r>
      <w:r>
        <w:rPr>
          <w:rFonts w:ascii="Verdana" w:hAnsi="Verdana" w:cs="Verdana"/>
          <w:b/>
          <w:bCs/>
          <w:sz w:val="21"/>
          <w:szCs w:val="21"/>
          <w:lang w:val="es-ES" w:eastAsia="es-ES"/>
        </w:rPr>
        <w:t xml:space="preserve">acuerdo 7.3 de la Sesión Ordinaria 59-2014 de 15 de octubre de 2014, </w:t>
      </w:r>
      <w:r>
        <w:rPr>
          <w:rFonts w:ascii="Verdana" w:hAnsi="Verdana" w:cs="Verdana"/>
          <w:sz w:val="21"/>
          <w:szCs w:val="21"/>
          <w:lang w:val="es-ES" w:eastAsia="es-ES"/>
        </w:rPr>
        <w:t>aprobar las recomend</w:t>
      </w:r>
      <w:r>
        <w:rPr>
          <w:rFonts w:ascii="Verdana" w:hAnsi="Verdana" w:cs="Verdana"/>
          <w:sz w:val="21"/>
          <w:szCs w:val="21"/>
          <w:lang w:val="es-ES" w:eastAsia="es-ES"/>
        </w:rPr>
        <w:t xml:space="preserve">aciones dadas por la dirección de Asuntos Jurídicos en su informe </w:t>
      </w:r>
      <w:r w:rsidR="0042409D">
        <w:rPr>
          <w:rFonts w:ascii="Verdana" w:hAnsi="Verdana" w:cs="Verdana"/>
          <w:b/>
          <w:bCs/>
          <w:sz w:val="21"/>
          <w:szCs w:val="21"/>
          <w:lang w:val="es-ES" w:eastAsia="es-ES"/>
        </w:rPr>
        <w:t>DAJ</w:t>
      </w:r>
      <w:r>
        <w:rPr>
          <w:rFonts w:ascii="Verdana" w:hAnsi="Verdana" w:cs="Verdana"/>
          <w:b/>
          <w:bCs/>
          <w:sz w:val="21"/>
          <w:szCs w:val="21"/>
          <w:lang w:val="es-ES" w:eastAsia="es-ES"/>
        </w:rPr>
        <w:t xml:space="preserve">-2014-002626, </w:t>
      </w:r>
      <w:r>
        <w:rPr>
          <w:rFonts w:ascii="Verdana" w:hAnsi="Verdana" w:cs="Verdana"/>
          <w:sz w:val="21"/>
          <w:szCs w:val="21"/>
          <w:lang w:val="es-ES" w:eastAsia="es-ES"/>
        </w:rPr>
        <w:t>y rechaza el recurso de Revocatoria y dispone notificar al Tribunal Administrativo de Transporte. (Léase folio 2 del expediente administrativo).</w:t>
      </w:r>
    </w:p>
    <w:p w:rsidR="00000000" w:rsidRDefault="00C26823">
      <w:pPr>
        <w:kinsoku w:val="0"/>
        <w:overflowPunct w:val="0"/>
        <w:autoSpaceDE/>
        <w:autoSpaceDN/>
        <w:adjustRightInd/>
        <w:spacing w:before="497" w:line="246" w:lineRule="exact"/>
        <w:ind w:right="576"/>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CUARTO: </w:t>
      </w:r>
      <w:r>
        <w:rPr>
          <w:rFonts w:ascii="Verdana" w:hAnsi="Verdana" w:cs="Verdana"/>
          <w:sz w:val="21"/>
          <w:szCs w:val="21"/>
          <w:lang w:val="es-ES" w:eastAsia="es-ES"/>
        </w:rPr>
        <w:t>En los procedimiento</w:t>
      </w:r>
      <w:r>
        <w:rPr>
          <w:rFonts w:ascii="Verdana" w:hAnsi="Verdana" w:cs="Verdana"/>
          <w:sz w:val="21"/>
          <w:szCs w:val="21"/>
          <w:lang w:val="es-ES" w:eastAsia="es-ES"/>
        </w:rPr>
        <w:t>s seguidos se han observado las prescripciones legales.</w:t>
      </w:r>
    </w:p>
    <w:p w:rsidR="00000000" w:rsidRDefault="00C26823">
      <w:pPr>
        <w:kinsoku w:val="0"/>
        <w:overflowPunct w:val="0"/>
        <w:autoSpaceDE/>
        <w:autoSpaceDN/>
        <w:adjustRightInd/>
        <w:spacing w:before="775" w:after="2026" w:line="246" w:lineRule="exact"/>
        <w:textAlignment w:val="baseline"/>
        <w:rPr>
          <w:rFonts w:ascii="Verdana" w:hAnsi="Verdana" w:cs="Verdana"/>
          <w:sz w:val="21"/>
          <w:szCs w:val="21"/>
          <w:lang w:val="es-ES" w:eastAsia="es-ES"/>
        </w:rPr>
      </w:pPr>
      <w:r>
        <w:rPr>
          <w:rFonts w:ascii="Verdana" w:hAnsi="Verdana" w:cs="Verdana"/>
          <w:sz w:val="21"/>
          <w:szCs w:val="21"/>
          <w:lang w:val="es-ES" w:eastAsia="es-ES"/>
        </w:rPr>
        <w:t>Redacta la Jueza Pérez Peláez.</w:t>
      </w:r>
    </w:p>
    <w:p w:rsidR="00000000" w:rsidRDefault="00C26823">
      <w:pPr>
        <w:widowControl/>
        <w:rPr>
          <w:sz w:val="24"/>
          <w:szCs w:val="24"/>
        </w:rPr>
        <w:sectPr w:rsidR="00000000">
          <w:pgSz w:w="12240" w:h="15840"/>
          <w:pgMar w:top="840" w:right="1507" w:bottom="230" w:left="2093" w:header="720" w:footer="720" w:gutter="0"/>
          <w:cols w:space="720"/>
          <w:noEndnote/>
        </w:sectPr>
      </w:pPr>
    </w:p>
    <w:p w:rsidR="00000000" w:rsidRDefault="00C26823">
      <w:pPr>
        <w:widowControl/>
        <w:rPr>
          <w:sz w:val="24"/>
          <w:szCs w:val="24"/>
        </w:rPr>
        <w:sectPr w:rsidR="00000000">
          <w:type w:val="continuous"/>
          <w:pgSz w:w="12240" w:h="15840"/>
          <w:pgMar w:top="840" w:right="2998" w:bottom="230" w:left="7382" w:header="720" w:footer="720" w:gutter="0"/>
          <w:cols w:space="720"/>
          <w:noEndnote/>
        </w:sectPr>
      </w:pPr>
    </w:p>
    <w:p w:rsidR="00000000" w:rsidRDefault="00C26823">
      <w:pPr>
        <w:kinsoku w:val="0"/>
        <w:overflowPunct w:val="0"/>
        <w:autoSpaceDE/>
        <w:autoSpaceDN/>
        <w:adjustRightInd/>
        <w:spacing w:before="6" w:line="235" w:lineRule="exact"/>
        <w:jc w:val="center"/>
        <w:textAlignment w:val="baseline"/>
        <w:rPr>
          <w:b/>
          <w:bCs/>
          <w:spacing w:val="21"/>
          <w:lang w:val="es-ES" w:eastAsia="es-ES"/>
        </w:rPr>
      </w:pPr>
      <w:r>
        <w:rPr>
          <w:b/>
          <w:bCs/>
          <w:spacing w:val="21"/>
          <w:lang w:val="es-ES" w:eastAsia="es-ES"/>
        </w:rPr>
        <w:lastRenderedPageBreak/>
        <w:t>CONSIDERANDO UNICO</w:t>
      </w:r>
    </w:p>
    <w:p w:rsidR="00000000" w:rsidRDefault="00C26823">
      <w:pPr>
        <w:kinsoku w:val="0"/>
        <w:overflowPunct w:val="0"/>
        <w:autoSpaceDE/>
        <w:autoSpaceDN/>
        <w:adjustRightInd/>
        <w:spacing w:before="533" w:line="252"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Debe procederse al archivo del presente asunto, ya que el recurrente accionó únicamente ante e</w:t>
      </w:r>
      <w:r>
        <w:rPr>
          <w:rFonts w:ascii="Verdana" w:hAnsi="Verdana" w:cs="Verdana"/>
          <w:sz w:val="21"/>
          <w:szCs w:val="21"/>
          <w:lang w:val="es-ES" w:eastAsia="es-ES"/>
        </w:rPr>
        <w:t>l Consejo de Transporte Público y no ante el Tribunal Administrativo de Transporte, por lo que éste se ve inhibido para conocer del asunto, pues no ha sido pedido así por el Administrado.</w:t>
      </w:r>
    </w:p>
    <w:p w:rsidR="00000000" w:rsidRDefault="00C26823">
      <w:pPr>
        <w:kinsoku w:val="0"/>
        <w:overflowPunct w:val="0"/>
        <w:autoSpaceDE/>
        <w:autoSpaceDN/>
        <w:adjustRightInd/>
        <w:spacing w:before="238" w:line="253" w:lineRule="exact"/>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Tanto del Recurso presentado por el Recurrente como del informe de l</w:t>
      </w:r>
      <w:r>
        <w:rPr>
          <w:rFonts w:ascii="Verdana" w:hAnsi="Verdana" w:cs="Verdana"/>
          <w:sz w:val="21"/>
          <w:szCs w:val="21"/>
          <w:lang w:val="es-ES" w:eastAsia="es-ES"/>
        </w:rPr>
        <w:t xml:space="preserve">a Dirección de Asuntos Jurídicos el </w:t>
      </w:r>
      <w:r>
        <w:rPr>
          <w:rFonts w:ascii="Verdana" w:hAnsi="Verdana" w:cs="Verdana"/>
          <w:b/>
          <w:bCs/>
          <w:sz w:val="21"/>
          <w:szCs w:val="21"/>
          <w:lang w:val="es-ES" w:eastAsia="es-ES"/>
        </w:rPr>
        <w:t>DA</w:t>
      </w:r>
      <w:r w:rsidR="0042409D">
        <w:rPr>
          <w:rFonts w:ascii="Verdana" w:hAnsi="Verdana" w:cs="Verdana"/>
          <w:b/>
          <w:bCs/>
          <w:sz w:val="21"/>
          <w:szCs w:val="21"/>
          <w:lang w:val="es-ES" w:eastAsia="es-ES"/>
        </w:rPr>
        <w:t>J</w:t>
      </w:r>
      <w:r>
        <w:rPr>
          <w:rFonts w:ascii="Verdana" w:hAnsi="Verdana" w:cs="Verdana"/>
          <w:b/>
          <w:bCs/>
          <w:sz w:val="21"/>
          <w:szCs w:val="21"/>
          <w:lang w:val="es-ES" w:eastAsia="es-ES"/>
        </w:rPr>
        <w:t xml:space="preserve"> 2014002626 de 1 de julio de 2014, </w:t>
      </w:r>
      <w:r>
        <w:rPr>
          <w:rFonts w:ascii="Verdana" w:hAnsi="Verdana" w:cs="Verdana"/>
          <w:sz w:val="21"/>
          <w:szCs w:val="21"/>
          <w:lang w:val="es-ES" w:eastAsia="es-ES"/>
        </w:rPr>
        <w:t>visible a folios 4 y 5 del expediente, se determina fehacientemente que lo presentado contra el acuerdo recurrido es únicamente el Recurso de Revocatoria y el órgano asesor del Conse</w:t>
      </w:r>
      <w:r>
        <w:rPr>
          <w:rFonts w:ascii="Verdana" w:hAnsi="Verdana" w:cs="Verdana"/>
          <w:sz w:val="21"/>
          <w:szCs w:val="21"/>
          <w:lang w:val="es-ES" w:eastAsia="es-ES"/>
        </w:rPr>
        <w:t xml:space="preserve">jo nunca recomienda elevar el asunto al Tribunal Administrativo de Transporte, tal como lo hizo la Junta en el </w:t>
      </w:r>
      <w:r>
        <w:rPr>
          <w:rFonts w:ascii="Verdana" w:hAnsi="Verdana" w:cs="Verdana"/>
          <w:b/>
          <w:bCs/>
          <w:sz w:val="21"/>
          <w:szCs w:val="21"/>
          <w:lang w:val="es-ES" w:eastAsia="es-ES"/>
        </w:rPr>
        <w:t>acuerdo 7.3 de la Sesión Ordinaria 59-2014 de 15 de octubre de 2014.</w:t>
      </w:r>
    </w:p>
    <w:p w:rsidR="00000000" w:rsidRDefault="00C26823">
      <w:pPr>
        <w:kinsoku w:val="0"/>
        <w:overflowPunct w:val="0"/>
        <w:autoSpaceDE/>
        <w:autoSpaceDN/>
        <w:adjustRightInd/>
        <w:spacing w:before="270" w:line="252"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De conformidad con el numeral 22 de La Ley de Transporte Remunerado de Perso</w:t>
      </w:r>
      <w:r>
        <w:rPr>
          <w:rFonts w:ascii="Verdana" w:hAnsi="Verdana" w:cs="Verdana"/>
          <w:sz w:val="21"/>
          <w:szCs w:val="21"/>
          <w:lang w:val="es-ES" w:eastAsia="es-ES"/>
        </w:rPr>
        <w:t xml:space="preserve">nas en Vehículos en la Modalidad de Taxi, </w:t>
      </w:r>
      <w:r>
        <w:rPr>
          <w:rFonts w:ascii="Verdana" w:hAnsi="Verdana" w:cs="Verdana"/>
          <w:i/>
          <w:iCs/>
          <w:sz w:val="19"/>
          <w:szCs w:val="19"/>
          <w:lang w:val="es-ES" w:eastAsia="es-ES"/>
        </w:rPr>
        <w:t xml:space="preserve">N. </w:t>
      </w:r>
      <w:r>
        <w:rPr>
          <w:rFonts w:ascii="Verdana" w:hAnsi="Verdana" w:cs="Verdana"/>
          <w:sz w:val="21"/>
          <w:szCs w:val="21"/>
          <w:lang w:val="es-ES" w:eastAsia="es-ES"/>
        </w:rPr>
        <w:t>7969 del 22 de diciembre de 1999, el Tribunal es competente:</w:t>
      </w:r>
    </w:p>
    <w:p w:rsidR="00000000" w:rsidRDefault="00C26823">
      <w:pPr>
        <w:kinsoku w:val="0"/>
        <w:overflowPunct w:val="0"/>
        <w:autoSpaceDE/>
        <w:autoSpaceDN/>
        <w:adjustRightInd/>
        <w:spacing w:before="263" w:line="227" w:lineRule="exact"/>
        <w:ind w:left="432"/>
        <w:textAlignment w:val="baseline"/>
        <w:rPr>
          <w:rFonts w:ascii="Verdana" w:hAnsi="Verdana" w:cs="Verdana"/>
          <w:i/>
          <w:iCs/>
          <w:spacing w:val="-1"/>
          <w:sz w:val="19"/>
          <w:szCs w:val="19"/>
          <w:lang w:val="es-ES" w:eastAsia="es-ES"/>
        </w:rPr>
      </w:pPr>
      <w:r>
        <w:rPr>
          <w:rFonts w:ascii="Verdana" w:hAnsi="Verdana" w:cs="Verdana"/>
          <w:i/>
          <w:iCs/>
          <w:spacing w:val="-1"/>
          <w:sz w:val="19"/>
          <w:szCs w:val="19"/>
          <w:lang w:val="es-ES" w:eastAsia="es-ES"/>
        </w:rPr>
        <w:t>"ARTÍCULO 22.- Competencia del Tribunal</w:t>
      </w:r>
    </w:p>
    <w:p w:rsidR="00000000" w:rsidRDefault="00C26823">
      <w:pPr>
        <w:kinsoku w:val="0"/>
        <w:overflowPunct w:val="0"/>
        <w:autoSpaceDE/>
        <w:autoSpaceDN/>
        <w:adjustRightInd/>
        <w:spacing w:before="7" w:line="227" w:lineRule="exact"/>
        <w:ind w:left="432"/>
        <w:textAlignment w:val="baseline"/>
        <w:rPr>
          <w:rFonts w:ascii="Verdana" w:hAnsi="Verdana" w:cs="Verdana"/>
          <w:i/>
          <w:iCs/>
          <w:spacing w:val="-2"/>
          <w:sz w:val="19"/>
          <w:szCs w:val="19"/>
          <w:lang w:val="es-ES" w:eastAsia="es-ES"/>
        </w:rPr>
      </w:pPr>
      <w:r>
        <w:rPr>
          <w:rFonts w:ascii="Verdana" w:hAnsi="Verdana" w:cs="Verdana"/>
          <w:i/>
          <w:iCs/>
          <w:spacing w:val="-2"/>
          <w:sz w:val="19"/>
          <w:szCs w:val="19"/>
          <w:lang w:val="es-ES" w:eastAsia="es-ES"/>
        </w:rPr>
        <w:t>El Tribunal será competente para lo siguiente:</w:t>
      </w:r>
    </w:p>
    <w:p w:rsidR="00000000" w:rsidRDefault="00C26823">
      <w:pPr>
        <w:numPr>
          <w:ilvl w:val="0"/>
          <w:numId w:val="1"/>
        </w:numPr>
        <w:kinsoku w:val="0"/>
        <w:overflowPunct w:val="0"/>
        <w:autoSpaceDE/>
        <w:autoSpaceDN/>
        <w:adjustRightInd/>
        <w:spacing w:before="233" w:line="225" w:lineRule="exact"/>
        <w:ind w:right="432"/>
        <w:jc w:val="both"/>
        <w:textAlignment w:val="baseline"/>
        <w:rPr>
          <w:rFonts w:ascii="Verdana" w:hAnsi="Verdana" w:cs="Verdana"/>
          <w:b/>
          <w:bCs/>
          <w:i/>
          <w:iCs/>
          <w:sz w:val="19"/>
          <w:szCs w:val="19"/>
          <w:lang w:val="es-ES" w:eastAsia="es-ES"/>
        </w:rPr>
      </w:pPr>
      <w:r>
        <w:rPr>
          <w:rFonts w:ascii="Verdana" w:hAnsi="Verdana" w:cs="Verdana"/>
          <w:b/>
          <w:bCs/>
          <w:i/>
          <w:iCs/>
          <w:sz w:val="19"/>
          <w:szCs w:val="19"/>
          <w:lang w:val="es-ES" w:eastAsia="es-ES"/>
        </w:rPr>
        <w:t>Conocer y resolver, en sede administrativa, los recursos de apelación que se interpongan contra cualquier acto o resolución del Consejo.</w:t>
      </w:r>
    </w:p>
    <w:p w:rsidR="00000000" w:rsidRDefault="00C26823">
      <w:pPr>
        <w:numPr>
          <w:ilvl w:val="0"/>
          <w:numId w:val="2"/>
        </w:numPr>
        <w:kinsoku w:val="0"/>
        <w:overflowPunct w:val="0"/>
        <w:autoSpaceDE/>
        <w:autoSpaceDN/>
        <w:adjustRightInd/>
        <w:spacing w:before="10" w:line="227" w:lineRule="exact"/>
        <w:ind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Establecer, en vía administrativa, las indemnizaciones que puedan originarse en relación con los daños producidos p</w:t>
      </w:r>
      <w:r>
        <w:rPr>
          <w:rFonts w:ascii="Verdana" w:hAnsi="Verdana" w:cs="Verdana"/>
          <w:i/>
          <w:iCs/>
          <w:sz w:val="19"/>
          <w:szCs w:val="19"/>
          <w:lang w:val="es-ES" w:eastAsia="es-ES"/>
        </w:rPr>
        <w:t>or violaciones de la legislación del transporte público.</w:t>
      </w:r>
    </w:p>
    <w:p w:rsidR="00000000" w:rsidRDefault="00C26823">
      <w:pPr>
        <w:numPr>
          <w:ilvl w:val="0"/>
          <w:numId w:val="3"/>
        </w:numPr>
        <w:kinsoku w:val="0"/>
        <w:overflowPunct w:val="0"/>
        <w:autoSpaceDE/>
        <w:autoSpaceDN/>
        <w:adjustRightInd/>
        <w:spacing w:before="9" w:line="228" w:lineRule="exact"/>
        <w:ind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 xml:space="preserve">Las resoluciones del </w:t>
      </w:r>
      <w:r>
        <w:rPr>
          <w:rFonts w:ascii="Verdana" w:hAnsi="Verdana" w:cs="Verdana"/>
          <w:b/>
          <w:bCs/>
          <w:i/>
          <w:iCs/>
          <w:sz w:val="19"/>
          <w:szCs w:val="19"/>
          <w:lang w:val="es-ES" w:eastAsia="es-ES"/>
        </w:rPr>
        <w:t xml:space="preserve">Tribunal </w:t>
      </w:r>
      <w:r>
        <w:rPr>
          <w:rFonts w:ascii="Verdana" w:hAnsi="Verdana" w:cs="Verdana"/>
          <w:i/>
          <w:iCs/>
          <w:sz w:val="19"/>
          <w:szCs w:val="19"/>
          <w:lang w:val="es-ES" w:eastAsia="es-ES"/>
        </w:rPr>
        <w:t xml:space="preserve">no tendrán más recursos y darán por agotada la vía administrativa." ( el resaltado </w:t>
      </w:r>
      <w:r>
        <w:rPr>
          <w:rFonts w:ascii="Verdana" w:hAnsi="Verdana" w:cs="Verdana"/>
          <w:sz w:val="21"/>
          <w:szCs w:val="21"/>
          <w:lang w:val="es-ES" w:eastAsia="es-ES"/>
        </w:rPr>
        <w:t xml:space="preserve">es </w:t>
      </w:r>
      <w:r>
        <w:rPr>
          <w:rFonts w:ascii="Verdana" w:hAnsi="Verdana" w:cs="Verdana"/>
          <w:i/>
          <w:iCs/>
          <w:sz w:val="19"/>
          <w:szCs w:val="19"/>
          <w:lang w:val="es-ES" w:eastAsia="es-ES"/>
        </w:rPr>
        <w:t>nuestro)</w:t>
      </w:r>
    </w:p>
    <w:p w:rsidR="00000000" w:rsidRDefault="00C26823" w:rsidP="0042409D">
      <w:pPr>
        <w:kinsoku w:val="0"/>
        <w:overflowPunct w:val="0"/>
        <w:autoSpaceDE/>
        <w:autoSpaceDN/>
        <w:adjustRightInd/>
        <w:spacing w:before="514" w:line="270" w:lineRule="exact"/>
        <w:jc w:val="both"/>
        <w:textAlignment w:val="baseline"/>
        <w:rPr>
          <w:rFonts w:ascii="Verdana" w:hAnsi="Verdana" w:cs="Verdana"/>
          <w:spacing w:val="9"/>
          <w:sz w:val="21"/>
          <w:szCs w:val="21"/>
          <w:lang w:val="es-ES" w:eastAsia="es-ES"/>
        </w:rPr>
      </w:pPr>
      <w:r w:rsidRPr="0042409D">
        <w:rPr>
          <w:rFonts w:ascii="Verdana" w:hAnsi="Verdana" w:cs="Verdana"/>
          <w:sz w:val="21"/>
          <w:szCs w:val="21"/>
          <w:lang w:val="es-ES" w:eastAsia="es-ES"/>
        </w:rPr>
        <w:t>Como se puede verificar de lo dicho el órgano de alzada, tiene la comp</w:t>
      </w:r>
      <w:r w:rsidRPr="0042409D">
        <w:rPr>
          <w:rFonts w:ascii="Verdana" w:hAnsi="Verdana" w:cs="Verdana"/>
          <w:sz w:val="21"/>
          <w:szCs w:val="21"/>
          <w:lang w:val="es-ES" w:eastAsia="es-ES"/>
        </w:rPr>
        <w:t>etencia para conocer de los recursos de apelación que se le presenten contra los actos del Consejo de Transporte Público, sin embargo, al revisar el recurso, en ningún momento el recurrente solicita, que de declarase sin lugar en primera instancia sus pret</w:t>
      </w:r>
      <w:r w:rsidRPr="0042409D">
        <w:rPr>
          <w:rFonts w:ascii="Verdana" w:hAnsi="Verdana" w:cs="Verdana"/>
          <w:sz w:val="21"/>
          <w:szCs w:val="21"/>
          <w:lang w:val="es-ES" w:eastAsia="es-ES"/>
        </w:rPr>
        <w:t>ensiones, se traslade el asunto a conocimiento del Tribunal, tal hecho inhibe a este colegiado de conocer el asunto en los términos del artículo 347 de la Ley General de la Administración Pública</w:t>
      </w:r>
      <w:r>
        <w:rPr>
          <w:rFonts w:ascii="Verdana" w:hAnsi="Verdana" w:cs="Verdana"/>
          <w:spacing w:val="9"/>
          <w:sz w:val="21"/>
          <w:szCs w:val="21"/>
          <w:lang w:val="es-ES" w:eastAsia="es-ES"/>
        </w:rPr>
        <w:t>.</w:t>
      </w:r>
    </w:p>
    <w:p w:rsidR="00000000" w:rsidRDefault="00C26823">
      <w:pPr>
        <w:widowControl/>
        <w:rPr>
          <w:sz w:val="24"/>
          <w:szCs w:val="24"/>
        </w:rPr>
        <w:sectPr w:rsidR="00000000">
          <w:pgSz w:w="12240" w:h="15840"/>
          <w:pgMar w:top="1900" w:right="2116" w:bottom="230" w:left="2064" w:header="720" w:footer="720" w:gutter="0"/>
          <w:cols w:space="720"/>
          <w:noEndnote/>
        </w:sectPr>
      </w:pPr>
    </w:p>
    <w:p w:rsidR="00000000" w:rsidRDefault="00C26823">
      <w:pPr>
        <w:kinsoku w:val="0"/>
        <w:overflowPunct w:val="0"/>
        <w:autoSpaceDE/>
        <w:autoSpaceDN/>
        <w:adjustRightInd/>
        <w:spacing w:before="2" w:line="240" w:lineRule="exact"/>
        <w:ind w:left="576"/>
        <w:textAlignment w:val="baseline"/>
        <w:rPr>
          <w:rFonts w:ascii="Verdana" w:hAnsi="Verdana" w:cs="Verdana"/>
          <w:sz w:val="24"/>
          <w:szCs w:val="24"/>
          <w:lang w:eastAsia="en-US"/>
        </w:rPr>
      </w:pPr>
      <w:r>
        <w:rPr>
          <w:rFonts w:ascii="Verdana" w:hAnsi="Verdana" w:cs="Verdana"/>
          <w:i/>
          <w:iCs/>
          <w:spacing w:val="3"/>
          <w:sz w:val="18"/>
          <w:szCs w:val="18"/>
          <w:lang w:val="es-ES" w:eastAsia="es-ES"/>
        </w:rPr>
        <w:t>"Artículo 347.</w:t>
      </w:r>
      <w:r>
        <w:rPr>
          <w:rFonts w:ascii="Verdana" w:hAnsi="Verdana" w:cs="Verdana"/>
          <w:i/>
          <w:iCs/>
          <w:spacing w:val="3"/>
          <w:sz w:val="18"/>
          <w:szCs w:val="18"/>
          <w:lang w:val="es-ES" w:eastAsia="es-ES"/>
        </w:rPr>
        <w:noBreakHyphen/>
      </w:r>
    </w:p>
    <w:p w:rsidR="00000000" w:rsidRDefault="00C26823">
      <w:pPr>
        <w:numPr>
          <w:ilvl w:val="0"/>
          <w:numId w:val="4"/>
        </w:numPr>
        <w:kinsoku w:val="0"/>
        <w:overflowPunct w:val="0"/>
        <w:autoSpaceDE/>
        <w:autoSpaceDN/>
        <w:adjustRightInd/>
        <w:spacing w:before="260" w:line="230" w:lineRule="exact"/>
        <w:ind w:right="648"/>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Los recursos podrán también interponerse haciéndolo constar en el acta de la notificación respectiva.</w:t>
      </w:r>
    </w:p>
    <w:p w:rsidR="00000000" w:rsidRDefault="00C26823">
      <w:pPr>
        <w:numPr>
          <w:ilvl w:val="0"/>
          <w:numId w:val="5"/>
        </w:numPr>
        <w:kinsoku w:val="0"/>
        <w:overflowPunct w:val="0"/>
        <w:autoSpaceDE/>
        <w:autoSpaceDN/>
        <w:adjustRightInd/>
        <w:spacing w:before="263" w:line="227" w:lineRule="exact"/>
        <w:ind w:right="648"/>
        <w:jc w:val="both"/>
        <w:textAlignment w:val="baseline"/>
        <w:rPr>
          <w:rFonts w:ascii="Verdana" w:hAnsi="Verdana" w:cs="Verdana"/>
          <w:b/>
          <w:bCs/>
          <w:i/>
          <w:iCs/>
          <w:sz w:val="18"/>
          <w:szCs w:val="18"/>
          <w:lang w:val="es-ES" w:eastAsia="es-ES"/>
        </w:rPr>
      </w:pPr>
      <w:r>
        <w:rPr>
          <w:rFonts w:ascii="Verdana" w:hAnsi="Verdana" w:cs="Verdana"/>
          <w:b/>
          <w:bCs/>
          <w:i/>
          <w:iCs/>
          <w:sz w:val="18"/>
          <w:szCs w:val="18"/>
          <w:lang w:val="es-ES" w:eastAsia="es-ES"/>
        </w:rPr>
        <w:t>Es potestativo usar ambos recursos ordinarios o uno solo de ellos, pero será inadmisible el que se interponga pasados los términos fijados en el art</w:t>
      </w:r>
      <w:r>
        <w:rPr>
          <w:rFonts w:ascii="Verdana" w:hAnsi="Verdana" w:cs="Verdana"/>
          <w:b/>
          <w:bCs/>
          <w:i/>
          <w:iCs/>
          <w:sz w:val="18"/>
          <w:szCs w:val="18"/>
          <w:lang w:val="es-ES" w:eastAsia="es-ES"/>
        </w:rPr>
        <w:t>ículo anterior.</w:t>
      </w:r>
    </w:p>
    <w:p w:rsidR="00000000" w:rsidRDefault="00C26823">
      <w:pPr>
        <w:numPr>
          <w:ilvl w:val="0"/>
          <w:numId w:val="5"/>
        </w:numPr>
        <w:kinsoku w:val="0"/>
        <w:overflowPunct w:val="0"/>
        <w:autoSpaceDE/>
        <w:autoSpaceDN/>
        <w:adjustRightInd/>
        <w:spacing w:before="277" w:line="230" w:lineRule="exact"/>
        <w:ind w:right="648"/>
        <w:jc w:val="both"/>
        <w:textAlignment w:val="baseline"/>
        <w:rPr>
          <w:rFonts w:ascii="Verdana" w:hAnsi="Verdana" w:cs="Verdana"/>
          <w:i/>
          <w:iCs/>
          <w:sz w:val="18"/>
          <w:szCs w:val="18"/>
          <w:lang w:val="es-ES" w:eastAsia="es-ES"/>
        </w:rPr>
      </w:pPr>
      <w:r>
        <w:rPr>
          <w:rFonts w:ascii="Verdana" w:hAnsi="Verdana" w:cs="Verdana"/>
          <w:b/>
          <w:bCs/>
          <w:i/>
          <w:iCs/>
          <w:sz w:val="18"/>
          <w:szCs w:val="18"/>
          <w:lang w:val="es-ES" w:eastAsia="es-ES"/>
        </w:rPr>
        <w:t>Si se interponen ambos recursos a la vez, se tramitará la apelación un</w:t>
      </w:r>
      <w:r w:rsidR="0042409D">
        <w:rPr>
          <w:rFonts w:ascii="Verdana" w:hAnsi="Verdana" w:cs="Verdana"/>
          <w:b/>
          <w:bCs/>
          <w:i/>
          <w:iCs/>
          <w:sz w:val="18"/>
          <w:szCs w:val="18"/>
          <w:lang w:val="es-ES" w:eastAsia="es-ES"/>
        </w:rPr>
        <w:t>a vez declarada sin lugar la re</w:t>
      </w:r>
      <w:r>
        <w:rPr>
          <w:rFonts w:ascii="Verdana" w:hAnsi="Verdana" w:cs="Verdana"/>
          <w:b/>
          <w:bCs/>
          <w:i/>
          <w:iCs/>
          <w:sz w:val="18"/>
          <w:szCs w:val="18"/>
          <w:lang w:val="es-ES" w:eastAsia="es-ES"/>
        </w:rPr>
        <w:t>vocatoria."(</w:t>
      </w:r>
      <w:r w:rsidRPr="0042409D">
        <w:rPr>
          <w:rFonts w:ascii="Verdana" w:hAnsi="Verdana" w:cs="Verdana"/>
          <w:bCs/>
          <w:i/>
          <w:iCs/>
          <w:sz w:val="18"/>
          <w:szCs w:val="18"/>
          <w:lang w:val="es-ES" w:eastAsia="es-ES"/>
        </w:rPr>
        <w:t>E</w:t>
      </w:r>
      <w:r w:rsidR="0042409D" w:rsidRPr="0042409D">
        <w:rPr>
          <w:rFonts w:ascii="Verdana" w:hAnsi="Verdana" w:cs="Verdana"/>
          <w:bCs/>
          <w:i/>
          <w:iCs/>
          <w:sz w:val="18"/>
          <w:szCs w:val="18"/>
          <w:lang w:val="es-ES" w:eastAsia="es-ES"/>
        </w:rPr>
        <w:t>l</w:t>
      </w:r>
      <w:r>
        <w:rPr>
          <w:rFonts w:ascii="Verdana" w:hAnsi="Verdana" w:cs="Verdana"/>
          <w:b/>
          <w:bCs/>
          <w:i/>
          <w:iCs/>
          <w:sz w:val="18"/>
          <w:szCs w:val="18"/>
          <w:lang w:val="es-ES" w:eastAsia="es-ES"/>
        </w:rPr>
        <w:t xml:space="preserve"> </w:t>
      </w:r>
      <w:r>
        <w:rPr>
          <w:rFonts w:ascii="Verdana" w:hAnsi="Verdana" w:cs="Verdana"/>
          <w:i/>
          <w:iCs/>
          <w:sz w:val="18"/>
          <w:szCs w:val="18"/>
          <w:lang w:val="es-ES" w:eastAsia="es-ES"/>
        </w:rPr>
        <w:t>Resaltado es nuestro)</w:t>
      </w:r>
    </w:p>
    <w:p w:rsidR="00000000" w:rsidRDefault="00C26823">
      <w:pPr>
        <w:kinsoku w:val="0"/>
        <w:overflowPunct w:val="0"/>
        <w:autoSpaceDE/>
        <w:autoSpaceDN/>
        <w:adjustRightInd/>
        <w:spacing w:before="536" w:line="250" w:lineRule="exact"/>
        <w:ind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Por lo indicado tenemos que en el presente asunto el señor </w:t>
      </w:r>
      <w:r>
        <w:rPr>
          <w:rFonts w:ascii="Verdana" w:hAnsi="Verdana" w:cs="Verdana"/>
          <w:b/>
          <w:bCs/>
          <w:sz w:val="21"/>
          <w:szCs w:val="21"/>
          <w:lang w:val="es-ES" w:eastAsia="es-ES"/>
        </w:rPr>
        <w:t>L</w:t>
      </w:r>
      <w:r w:rsidR="0042409D">
        <w:rPr>
          <w:rFonts w:ascii="Verdana" w:hAnsi="Verdana" w:cs="Verdana"/>
          <w:b/>
          <w:bCs/>
          <w:sz w:val="21"/>
          <w:szCs w:val="21"/>
          <w:lang w:val="es-ES" w:eastAsia="es-ES"/>
        </w:rPr>
        <w:t>.S.</w:t>
      </w:r>
      <w:r>
        <w:rPr>
          <w:rFonts w:ascii="Verdana" w:hAnsi="Verdana" w:cs="Verdana"/>
          <w:b/>
          <w:bCs/>
          <w:sz w:val="21"/>
          <w:szCs w:val="21"/>
          <w:lang w:val="es-ES" w:eastAsia="es-ES"/>
        </w:rPr>
        <w:t xml:space="preserve">, </w:t>
      </w:r>
      <w:r>
        <w:rPr>
          <w:rFonts w:ascii="Verdana" w:hAnsi="Verdana" w:cs="Verdana"/>
          <w:sz w:val="21"/>
          <w:szCs w:val="21"/>
          <w:lang w:val="es-ES" w:eastAsia="es-ES"/>
        </w:rPr>
        <w:t>lo que presenta es un Rec</w:t>
      </w:r>
      <w:r>
        <w:rPr>
          <w:rFonts w:ascii="Verdana" w:hAnsi="Verdana" w:cs="Verdana"/>
          <w:sz w:val="21"/>
          <w:szCs w:val="21"/>
          <w:lang w:val="es-ES" w:eastAsia="es-ES"/>
        </w:rPr>
        <w:t>urso de Revocatoria y no un Recurso de Apelación, por lo que el caso fue mal elevado por parte del Consejo de Transporte Público y por lo tanto debe de archivarse.</w:t>
      </w:r>
    </w:p>
    <w:p w:rsidR="00000000" w:rsidRDefault="00C26823">
      <w:pPr>
        <w:kinsoku w:val="0"/>
        <w:overflowPunct w:val="0"/>
        <w:autoSpaceDE/>
        <w:autoSpaceDN/>
        <w:adjustRightInd/>
        <w:spacing w:before="501" w:line="249" w:lineRule="exact"/>
        <w:jc w:val="center"/>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POR TANTO</w:t>
      </w:r>
    </w:p>
    <w:p w:rsidR="00000000" w:rsidRDefault="00C26823">
      <w:pPr>
        <w:kinsoku w:val="0"/>
        <w:overflowPunct w:val="0"/>
        <w:autoSpaceDE/>
        <w:autoSpaceDN/>
        <w:adjustRightInd/>
        <w:spacing w:before="268" w:line="250" w:lineRule="exact"/>
        <w:ind w:right="144"/>
        <w:jc w:val="both"/>
        <w:textAlignment w:val="baseline"/>
        <w:rPr>
          <w:rFonts w:ascii="Verdana" w:hAnsi="Verdana" w:cs="Verdana"/>
          <w:spacing w:val="-6"/>
          <w:sz w:val="21"/>
          <w:szCs w:val="21"/>
          <w:lang w:val="es-ES" w:eastAsia="es-ES"/>
        </w:rPr>
      </w:pPr>
      <w:r>
        <w:rPr>
          <w:rFonts w:ascii="Verdana" w:hAnsi="Verdana" w:cs="Verdana"/>
          <w:spacing w:val="-6"/>
          <w:sz w:val="21"/>
          <w:szCs w:val="21"/>
          <w:lang w:val="es-ES" w:eastAsia="es-ES"/>
        </w:rPr>
        <w:t>1.- Se ordena el archivo por mal elevado, del Recurso de Revocatoria interpuesto p</w:t>
      </w:r>
      <w:r>
        <w:rPr>
          <w:rFonts w:ascii="Verdana" w:hAnsi="Verdana" w:cs="Verdana"/>
          <w:spacing w:val="-6"/>
          <w:sz w:val="21"/>
          <w:szCs w:val="21"/>
          <w:lang w:val="es-ES" w:eastAsia="es-ES"/>
        </w:rPr>
        <w:t xml:space="preserve">or el señor </w:t>
      </w:r>
      <w:r>
        <w:rPr>
          <w:rFonts w:ascii="Verdana" w:hAnsi="Verdana" w:cs="Verdana"/>
          <w:b/>
          <w:bCs/>
          <w:spacing w:val="-6"/>
          <w:sz w:val="21"/>
          <w:szCs w:val="21"/>
          <w:lang w:val="es-ES" w:eastAsia="es-ES"/>
        </w:rPr>
        <w:t>A</w:t>
      </w:r>
      <w:r w:rsidR="0042409D">
        <w:rPr>
          <w:rFonts w:ascii="Verdana" w:hAnsi="Verdana" w:cs="Verdana"/>
          <w:b/>
          <w:bCs/>
          <w:spacing w:val="-6"/>
          <w:sz w:val="21"/>
          <w:szCs w:val="21"/>
          <w:lang w:val="es-ES" w:eastAsia="es-ES"/>
        </w:rPr>
        <w:t>.L.S.</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cédula de identidad </w:t>
      </w:r>
      <w:proofErr w:type="gramStart"/>
      <w:r>
        <w:rPr>
          <w:rFonts w:ascii="Verdana" w:hAnsi="Verdana" w:cs="Verdana"/>
          <w:spacing w:val="-6"/>
          <w:sz w:val="21"/>
          <w:szCs w:val="21"/>
          <w:lang w:val="es-ES" w:eastAsia="es-ES"/>
        </w:rPr>
        <w:t xml:space="preserve">número </w:t>
      </w:r>
      <w:r w:rsidR="0042409D">
        <w:rPr>
          <w:rFonts w:ascii="Verdana" w:hAnsi="Verdana" w:cs="Verdana"/>
          <w:spacing w:val="-6"/>
          <w:sz w:val="21"/>
          <w:szCs w:val="21"/>
          <w:lang w:val="es-ES" w:eastAsia="es-ES"/>
        </w:rPr>
        <w:t>…</w:t>
      </w:r>
      <w:proofErr w:type="gramEnd"/>
      <w:r>
        <w:rPr>
          <w:rFonts w:ascii="Verdana" w:hAnsi="Verdana" w:cs="Verdana"/>
          <w:spacing w:val="-6"/>
          <w:sz w:val="21"/>
          <w:szCs w:val="21"/>
          <w:lang w:val="es-ES" w:eastAsia="es-ES"/>
        </w:rPr>
        <w:t xml:space="preserve">, en su condición de concesionario de la placa de Taxi </w:t>
      </w:r>
      <w:r w:rsidR="0042409D">
        <w:rPr>
          <w:rFonts w:ascii="Verdana" w:hAnsi="Verdana" w:cs="Verdana"/>
          <w:b/>
          <w:bCs/>
          <w:spacing w:val="-6"/>
          <w:sz w:val="21"/>
          <w:szCs w:val="21"/>
          <w:lang w:val="es-ES" w:eastAsia="es-ES"/>
        </w:rPr>
        <w:t>TH-XXX</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contra el </w:t>
      </w:r>
      <w:r>
        <w:rPr>
          <w:rFonts w:ascii="Verdana" w:hAnsi="Verdana" w:cs="Verdana"/>
          <w:b/>
          <w:bCs/>
          <w:spacing w:val="-6"/>
          <w:sz w:val="21"/>
          <w:szCs w:val="21"/>
          <w:lang w:val="es-ES" w:eastAsia="es-ES"/>
        </w:rPr>
        <w:t xml:space="preserve">Artículo 3.2.7 de la Sesión Ordinaria N. 13-2009 </w:t>
      </w:r>
      <w:r>
        <w:rPr>
          <w:rFonts w:ascii="Verdana" w:hAnsi="Verdana" w:cs="Verdana"/>
          <w:spacing w:val="-6"/>
          <w:sz w:val="21"/>
          <w:szCs w:val="21"/>
          <w:lang w:val="es-ES" w:eastAsia="es-ES"/>
        </w:rPr>
        <w:t>de 24 de febrero de 2009, dictado por la JUNTA DIRECTIVA DEL C</w:t>
      </w:r>
      <w:r>
        <w:rPr>
          <w:rFonts w:ascii="Verdana" w:hAnsi="Verdana" w:cs="Verdana"/>
          <w:spacing w:val="-6"/>
          <w:sz w:val="21"/>
          <w:szCs w:val="21"/>
          <w:lang w:val="es-ES" w:eastAsia="es-ES"/>
        </w:rPr>
        <w:t>ONSEJO DE TRANSPORTE PÚBLICO.</w:t>
      </w:r>
    </w:p>
    <w:p w:rsidR="0042409D" w:rsidRDefault="00C26823" w:rsidP="0042409D">
      <w:pPr>
        <w:kinsoku w:val="0"/>
        <w:overflowPunct w:val="0"/>
        <w:autoSpaceDE/>
        <w:autoSpaceDN/>
        <w:adjustRightInd/>
        <w:spacing w:before="258" w:after="834" w:line="249" w:lineRule="exact"/>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II.- NOTIFIQUESE.</w:t>
      </w:r>
    </w:p>
    <w:p w:rsidR="0042409D" w:rsidRDefault="0042409D" w:rsidP="0042409D">
      <w:pPr>
        <w:kinsoku w:val="0"/>
        <w:overflowPunct w:val="0"/>
        <w:autoSpaceDE/>
        <w:autoSpaceDN/>
        <w:adjustRightInd/>
        <w:spacing w:line="543" w:lineRule="exact"/>
        <w:jc w:val="center"/>
        <w:textAlignment w:val="baseline"/>
        <w:rPr>
          <w:b/>
          <w:bCs/>
          <w:i/>
          <w:iCs/>
          <w:sz w:val="26"/>
          <w:szCs w:val="26"/>
          <w:lang w:val="es-ES" w:eastAsia="es-ES"/>
        </w:rPr>
      </w:pPr>
      <w:r>
        <w:rPr>
          <w:b/>
          <w:bCs/>
          <w:i/>
          <w:iCs/>
          <w:sz w:val="26"/>
          <w:szCs w:val="26"/>
          <w:lang w:val="es-ES" w:eastAsia="es-ES"/>
        </w:rPr>
        <w:t>Lic. Carlos Portuguez Méndez</w:t>
      </w:r>
    </w:p>
    <w:p w:rsidR="0042409D" w:rsidRDefault="0042409D" w:rsidP="0042409D">
      <w:pPr>
        <w:kinsoku w:val="0"/>
        <w:overflowPunct w:val="0"/>
        <w:autoSpaceDE/>
        <w:autoSpaceDN/>
        <w:adjustRightInd/>
        <w:spacing w:line="543" w:lineRule="exact"/>
        <w:textAlignment w:val="baseline"/>
        <w:rPr>
          <w:b/>
          <w:bCs/>
          <w:i/>
          <w:iCs/>
          <w:sz w:val="26"/>
          <w:szCs w:val="26"/>
          <w:lang w:val="es-ES" w:eastAsia="es-ES"/>
        </w:rPr>
      </w:pPr>
      <w:r>
        <w:rPr>
          <w:b/>
          <w:bCs/>
          <w:i/>
          <w:iCs/>
          <w:sz w:val="26"/>
          <w:szCs w:val="26"/>
          <w:lang w:val="es-ES" w:eastAsia="es-ES"/>
        </w:rPr>
        <w:t xml:space="preserve">                      </w:t>
      </w:r>
      <w:r>
        <w:rPr>
          <w:b/>
          <w:bCs/>
          <w:i/>
          <w:iCs/>
          <w:sz w:val="26"/>
          <w:szCs w:val="26"/>
          <w:lang w:val="es-ES" w:eastAsia="es-ES"/>
        </w:rPr>
        <w:tab/>
      </w:r>
      <w:r>
        <w:rPr>
          <w:b/>
          <w:bCs/>
          <w:i/>
          <w:iCs/>
          <w:sz w:val="26"/>
          <w:szCs w:val="26"/>
          <w:lang w:val="es-ES" w:eastAsia="es-ES"/>
        </w:rPr>
        <w:tab/>
        <w:t xml:space="preserve">                       Presidente</w:t>
      </w:r>
    </w:p>
    <w:p w:rsidR="0042409D" w:rsidRDefault="0042409D" w:rsidP="0042409D">
      <w:pPr>
        <w:kinsoku w:val="0"/>
        <w:overflowPunct w:val="0"/>
        <w:autoSpaceDE/>
        <w:autoSpaceDN/>
        <w:adjustRightInd/>
        <w:spacing w:line="543" w:lineRule="exact"/>
        <w:textAlignment w:val="baseline"/>
        <w:rPr>
          <w:b/>
          <w:bCs/>
          <w:i/>
          <w:iCs/>
          <w:sz w:val="26"/>
          <w:szCs w:val="26"/>
          <w:lang w:val="es-ES" w:eastAsia="es-ES"/>
        </w:rPr>
      </w:pPr>
    </w:p>
    <w:p w:rsidR="0042409D" w:rsidRDefault="0042409D" w:rsidP="0042409D">
      <w:pPr>
        <w:kinsoku w:val="0"/>
        <w:overflowPunct w:val="0"/>
        <w:autoSpaceDE/>
        <w:autoSpaceDN/>
        <w:adjustRightInd/>
        <w:spacing w:line="543" w:lineRule="exact"/>
        <w:textAlignment w:val="baseline"/>
        <w:rPr>
          <w:b/>
          <w:bCs/>
          <w:i/>
          <w:iCs/>
          <w:sz w:val="26"/>
          <w:szCs w:val="26"/>
          <w:lang w:val="es-ES" w:eastAsia="es-ES"/>
        </w:rPr>
      </w:pPr>
      <w:r>
        <w:rPr>
          <w:b/>
          <w:bCs/>
          <w:i/>
          <w:iCs/>
          <w:sz w:val="26"/>
          <w:szCs w:val="26"/>
          <w:lang w:val="es-ES" w:eastAsia="es-ES"/>
        </w:rPr>
        <w:t>Licda. Marta Luz Pérez Peláez                  Lic. Mario Quesada Aguirre</w:t>
      </w:r>
    </w:p>
    <w:p w:rsidR="0042409D" w:rsidRDefault="0042409D" w:rsidP="0042409D">
      <w:pPr>
        <w:kinsoku w:val="0"/>
        <w:overflowPunct w:val="0"/>
        <w:autoSpaceDE/>
        <w:autoSpaceDN/>
        <w:adjustRightInd/>
        <w:spacing w:line="543" w:lineRule="exact"/>
        <w:textAlignment w:val="baseline"/>
        <w:rPr>
          <w:b/>
          <w:bCs/>
          <w:i/>
          <w:iCs/>
          <w:sz w:val="26"/>
          <w:szCs w:val="26"/>
          <w:lang w:val="es-ES" w:eastAsia="es-ES"/>
        </w:rPr>
      </w:pPr>
      <w:r>
        <w:rPr>
          <w:b/>
          <w:bCs/>
          <w:i/>
          <w:iCs/>
          <w:sz w:val="26"/>
          <w:szCs w:val="26"/>
          <w:lang w:val="es-ES" w:eastAsia="es-ES"/>
        </w:rPr>
        <w:t xml:space="preserve">               JUEZA                                                           JUEZ</w:t>
      </w:r>
    </w:p>
    <w:p w:rsidR="00C26823" w:rsidRDefault="0042409D" w:rsidP="0042409D">
      <w:pPr>
        <w:kinsoku w:val="0"/>
        <w:overflowPunct w:val="0"/>
        <w:autoSpaceDE/>
        <w:autoSpaceDN/>
        <w:adjustRightInd/>
        <w:spacing w:before="258" w:after="834" w:line="249" w:lineRule="exact"/>
        <w:textAlignment w:val="baseline"/>
        <w:rPr>
          <w:sz w:val="24"/>
          <w:szCs w:val="24"/>
        </w:rPr>
      </w:pPr>
      <w:r>
        <w:rPr>
          <w:sz w:val="24"/>
          <w:szCs w:val="24"/>
        </w:rPr>
        <w:t xml:space="preserve"> </w:t>
      </w:r>
    </w:p>
    <w:sectPr w:rsidR="00C26823" w:rsidSect="0042409D">
      <w:pgSz w:w="12240" w:h="15840"/>
      <w:pgMar w:top="1380" w:right="1997" w:bottom="190" w:left="206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0292"/>
    <w:multiLevelType w:val="singleLevel"/>
    <w:tmpl w:val="1CB33744"/>
    <w:lvl w:ilvl="0">
      <w:start w:val="1"/>
      <w:numFmt w:val="lowerLetter"/>
      <w:lvlText w:val="%1)"/>
      <w:lvlJc w:val="left"/>
      <w:pPr>
        <w:tabs>
          <w:tab w:val="num" w:pos="792"/>
        </w:tabs>
        <w:ind w:left="432"/>
      </w:pPr>
      <w:rPr>
        <w:rFonts w:ascii="Verdana" w:hAnsi="Verdana" w:cs="Verdana"/>
        <w:b/>
        <w:bCs/>
        <w:i/>
        <w:iCs/>
        <w:snapToGrid/>
        <w:sz w:val="19"/>
        <w:szCs w:val="19"/>
      </w:rPr>
    </w:lvl>
  </w:abstractNum>
  <w:abstractNum w:abstractNumId="1">
    <w:nsid w:val="05EBCBAF"/>
    <w:multiLevelType w:val="singleLevel"/>
    <w:tmpl w:val="41197E99"/>
    <w:lvl w:ilvl="0">
      <w:start w:val="1"/>
      <w:numFmt w:val="decimal"/>
      <w:lvlText w:val="%1."/>
      <w:lvlJc w:val="left"/>
      <w:pPr>
        <w:tabs>
          <w:tab w:val="num" w:pos="864"/>
        </w:tabs>
        <w:ind w:left="576"/>
      </w:pPr>
      <w:rPr>
        <w:rFonts w:ascii="Verdana" w:hAnsi="Verdana" w:cs="Verdana"/>
        <w:i/>
        <w:iCs/>
        <w:snapToGrid/>
        <w:sz w:val="18"/>
        <w:szCs w:val="18"/>
      </w:rPr>
    </w:lvl>
  </w:abstractNum>
  <w:num w:numId="1">
    <w:abstractNumId w:val="0"/>
  </w:num>
  <w:num w:numId="2">
    <w:abstractNumId w:val="0"/>
    <w:lvlOverride w:ilvl="0">
      <w:lvl w:ilvl="0">
        <w:numFmt w:val="lowerLetter"/>
        <w:lvlText w:val="%1)"/>
        <w:lvlJc w:val="left"/>
        <w:pPr>
          <w:tabs>
            <w:tab w:val="num" w:pos="720"/>
          </w:tabs>
          <w:ind w:left="432"/>
        </w:pPr>
        <w:rPr>
          <w:rFonts w:ascii="Verdana" w:hAnsi="Verdana" w:cs="Verdana"/>
          <w:i/>
          <w:iCs/>
          <w:snapToGrid/>
          <w:sz w:val="19"/>
          <w:szCs w:val="19"/>
        </w:rPr>
      </w:lvl>
    </w:lvlOverride>
  </w:num>
  <w:num w:numId="3">
    <w:abstractNumId w:val="0"/>
    <w:lvlOverride w:ilvl="0">
      <w:lvl w:ilvl="0">
        <w:numFmt w:val="lowerLetter"/>
        <w:lvlText w:val="%1)"/>
        <w:lvlJc w:val="left"/>
        <w:pPr>
          <w:tabs>
            <w:tab w:val="num" w:pos="648"/>
          </w:tabs>
          <w:ind w:left="432"/>
        </w:pPr>
        <w:rPr>
          <w:rFonts w:ascii="Verdana" w:hAnsi="Verdana" w:cs="Verdana"/>
          <w:i/>
          <w:iCs/>
          <w:snapToGrid/>
          <w:sz w:val="19"/>
          <w:szCs w:val="19"/>
        </w:rPr>
      </w:lvl>
    </w:lvlOverride>
  </w:num>
  <w:num w:numId="4">
    <w:abstractNumId w:val="1"/>
  </w:num>
  <w:num w:numId="5">
    <w:abstractNumId w:val="1"/>
    <w:lvlOverride w:ilvl="0">
      <w:lvl w:ilvl="0">
        <w:numFmt w:val="decimal"/>
        <w:lvlText w:val="%1."/>
        <w:lvlJc w:val="left"/>
        <w:pPr>
          <w:tabs>
            <w:tab w:val="num" w:pos="864"/>
          </w:tabs>
          <w:ind w:left="576"/>
        </w:pPr>
        <w:rPr>
          <w:rFonts w:ascii="Verdana" w:hAnsi="Verdana" w:cs="Verdana"/>
          <w:b/>
          <w:bCs/>
          <w:i/>
          <w:iCs/>
          <w:snapToGrid/>
          <w:sz w:val="18"/>
          <w:szCs w:val="18"/>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577C2B"/>
    <w:rsid w:val="0042409D"/>
    <w:rsid w:val="00577C2B"/>
    <w:rsid w:val="00C2682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4230</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2015-11-27T21:42:00Z</dcterms:created>
  <dcterms:modified xsi:type="dcterms:W3CDTF">2015-11-27T21:42:00Z</dcterms:modified>
</cp:coreProperties>
</file>